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DE5703" w:rsidR="00DE5703" w:rsidP="00DE5703" w:rsidRDefault="00DE5703" w14:paraId="36EEFD36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0974D477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Uchwała nr 5</w:t>
      </w:r>
    </w:p>
    <w:p w:rsidRPr="00DE5703" w:rsidR="00DE5703" w:rsidP="00DE5703" w:rsidRDefault="00DE5703" w14:paraId="62079685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Nadzwyczajnego Walnego Zgromadzenia Członków Izby Gospodarki Elektronicznej</w:t>
      </w:r>
    </w:p>
    <w:p w:rsidRPr="00DE5703" w:rsidR="00DE5703" w:rsidP="00DE5703" w:rsidRDefault="00DE5703" w14:paraId="58265C7C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 xml:space="preserve">z siedzibą w Warszawie z dnia </w:t>
      </w:r>
      <w:r w:rsidRPr="00DE5703">
        <w:rPr>
          <w:rFonts w:ascii="Calibri" w:hAnsi="Calibri" w:eastAsia="Calibri" w:cs="Calibri"/>
          <w:b/>
          <w:bCs/>
          <w:kern w:val="0"/>
          <w:sz w:val="22"/>
          <w:szCs w:val="22"/>
          <w14:ligatures w14:val="none"/>
        </w:rPr>
        <w:t>16 kwietnia 2026 roku</w:t>
      </w:r>
    </w:p>
    <w:p w:rsidRPr="00DE5703" w:rsidR="00DE5703" w:rsidP="00DE5703" w:rsidRDefault="00DE5703" w14:paraId="52B6D7AA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w sprawie zmiany Statutu e-Izby</w:t>
      </w:r>
    </w:p>
    <w:p w:rsidRPr="00DE5703" w:rsidR="00DE5703" w:rsidP="00DE5703" w:rsidRDefault="00DE5703" w14:paraId="4B7C6DB3" w14:textId="77777777">
      <w:pPr>
        <w:spacing w:after="0" w:line="240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F8936CD" w14:textId="77777777">
      <w:pPr>
        <w:spacing w:after="0" w:line="240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E086150" w14:textId="77777777">
      <w:pPr>
        <w:spacing w:after="0" w:line="276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  <w:t>Nadzwyczajne Walne Zgromadzenie Członków Izby Gospodarki Elektronicznej z siedzibą w Warszawie w głosowaniu jawnym na podstawie art. 35 ust. 1 Statutu e-Izby uchwala, co następuje:</w:t>
      </w:r>
    </w:p>
    <w:p w:rsidRPr="00DE5703" w:rsidR="00DE5703" w:rsidP="00DE5703" w:rsidRDefault="00DE5703" w14:paraId="328A2A3B" w14:textId="77777777">
      <w:pPr>
        <w:spacing w:after="0" w:line="276" w:lineRule="auto"/>
        <w:contextualSpacing/>
        <w:jc w:val="both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982F00C" w14:textId="77777777">
      <w:pPr>
        <w:spacing w:after="0" w:line="276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Calibri"/>
          <w:b/>
          <w:bCs/>
          <w:color w:val="000000"/>
          <w:kern w:val="0"/>
          <w:sz w:val="22"/>
          <w:szCs w:val="22"/>
          <w14:ligatures w14:val="none"/>
        </w:rPr>
        <w:t>§ 1 </w:t>
      </w:r>
    </w:p>
    <w:p w:rsidRPr="00DE5703" w:rsidR="00DE5703" w:rsidP="00DE5703" w:rsidRDefault="00DE5703" w14:paraId="2F3FFBAA" w14:textId="77777777">
      <w:pPr>
        <w:spacing w:after="0" w:line="276" w:lineRule="auto"/>
        <w:contextualSpacing/>
        <w:jc w:val="center"/>
        <w:rPr>
          <w:rFonts w:ascii="Calibri" w:hAnsi="Calibri" w:eastAsia="Arial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4A6739C" w14:textId="77777777">
      <w:pPr>
        <w:spacing w:after="0" w:line="276" w:lineRule="auto"/>
        <w:contextualSpacing/>
        <w:jc w:val="both"/>
        <w:rPr>
          <w:rFonts w:ascii="Calibri" w:hAnsi="Calibri" w:eastAsia="Arial" w:cs="Times New Roman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Arial" w:cs="Times New Roman"/>
          <w:color w:val="000000"/>
          <w:kern w:val="0"/>
          <w:sz w:val="22"/>
          <w:szCs w:val="22"/>
          <w14:ligatures w14:val="none"/>
        </w:rPr>
        <w:t>W</w:t>
      </w: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alne Zgromadzenie Członków Izby Gospodarki Elektronicznej z siedzibą w Warszawie zmienia art. 10 ust. 3 Statutu e-Izby i nadaje mu następujące brzmienie:</w:t>
      </w:r>
    </w:p>
    <w:p w:rsidRPr="00DE5703" w:rsidR="00DE5703" w:rsidP="00DE5703" w:rsidRDefault="00DE5703" w14:paraId="40AE131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00DE5703" w14:paraId="712051DE" w14:textId="42BAF21F">
      <w:pPr>
        <w:spacing w:after="0" w:line="276" w:lineRule="auto"/>
        <w:contextualSpacing w:val="1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 xml:space="preserve">„3. 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 </w:t>
      </w: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>ppkt</w:t>
      </w: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 xml:space="preserve"> iii niniejszego artykułu. Niezależnie od zastosowania wymienionych powyżej sankcji organizacyjnych, </w:t>
      </w:r>
      <w:r w:rsidRPr="680EB485" w:rsidR="02D2A035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 xml:space="preserve">e</w:t>
      </w: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>-Izba jest uprawniona do dochodzenia zapłaty zaległych składek członkowskich wraz z należnymi odsetkami na drodze sądowej."</w:t>
      </w:r>
    </w:p>
    <w:p w:rsidRPr="00DE5703" w:rsidR="00DE5703" w:rsidP="00DE5703" w:rsidRDefault="00DE5703" w14:paraId="7FF1A808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4C83ACE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b/>
          <w:bCs/>
          <w:color w:val="000000"/>
          <w:kern w:val="0"/>
          <w:sz w:val="22"/>
          <w:szCs w:val="22"/>
          <w14:ligatures w14:val="none"/>
        </w:rPr>
        <w:t>§ 2 </w:t>
      </w:r>
    </w:p>
    <w:p w:rsidRPr="00DE5703" w:rsidR="00DE5703" w:rsidP="00DE5703" w:rsidRDefault="00DE5703" w14:paraId="4084F370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77BDA3E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dodaje art. 11 ust. 13 Statutu e-Izby o następującym brzmieniu:</w:t>
      </w:r>
    </w:p>
    <w:p w:rsidRPr="00DE5703" w:rsidR="00DE5703" w:rsidP="00DE5703" w:rsidRDefault="00DE5703" w14:paraId="75704C18" w14:textId="77777777">
      <w:pPr>
        <w:spacing w:after="0" w:line="276" w:lineRule="auto"/>
        <w:contextualSpacing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7024312C" w14:textId="40650784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 xml:space="preserve">„13. Niezależnie od zastosowania sankcji organizacyjnych związanych z zaleganiem z zapłatą składek partnerskich, </w:t>
      </w:r>
      <w:r w:rsidRPr="680EB485" w:rsidR="616A4841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>e</w:t>
      </w:r>
      <w:r w:rsidRPr="680EB485" w:rsidR="4E8A39F9">
        <w:rPr>
          <w:rFonts w:ascii="Calibri" w:hAnsi="Calibri" w:eastAsia="Calibri" w:cs="Calibri"/>
          <w:i w:val="1"/>
          <w:iCs w:val="1"/>
          <w:color w:val="000000"/>
          <w:kern w:val="0"/>
          <w:sz w:val="22"/>
          <w:szCs w:val="22"/>
          <w14:ligatures w14:val="none"/>
        </w:rPr>
        <w:t>-Izba jest uprawniona do dochodzenia zapłaty zaległych składek partnerskich wraz z należnymi odsetkami na drodze sądowej.”</w:t>
      </w:r>
    </w:p>
    <w:p w:rsidRPr="00DE5703" w:rsidR="00DE5703" w:rsidP="00DE5703" w:rsidRDefault="00DE5703" w14:paraId="377F59F3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00DE5703" w14:paraId="2BAA8796" w14:textId="77777777" w14:noSpellErr="1">
      <w:pPr>
        <w:spacing w:after="0" w:line="276" w:lineRule="auto"/>
        <w:contextualSpacing w:val="1"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 w:rsidR="4E8A39F9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>§ 3</w:t>
      </w:r>
    </w:p>
    <w:p w:rsidRPr="00DE5703" w:rsidR="00DE5703" w:rsidP="680EB485" w:rsidRDefault="00DE5703" w14:paraId="482043D5" w14:textId="77777777" w14:noSpellErr="1">
      <w:pPr>
        <w:spacing w:after="0" w:line="276" w:lineRule="auto"/>
        <w:contextualSpacing w:val="1"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 w:rsidR="4E8A39F9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> </w:t>
      </w:r>
    </w:p>
    <w:p w:rsidRPr="00DE5703" w:rsidR="00DE5703" w:rsidP="00DE5703" w:rsidRDefault="00DE5703" w14:paraId="54DAEEDC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postanawia dokonać sprostowania oczywistej omyłki redakcyjnej w treści art. 24 Statutu e</w:t>
      </w:r>
      <w:r w:rsidRPr="00DE5703">
        <w:rPr>
          <w:rFonts w:ascii="Cambria Math" w:hAnsi="Cambria Math" w:eastAsia="Cambria Math" w:cs="Cambria Math"/>
          <w:color w:val="000000"/>
          <w:kern w:val="0"/>
          <w:sz w:val="22"/>
          <w:szCs w:val="22"/>
          <w14:ligatures w14:val="none"/>
        </w:rPr>
        <w:t>‑</w:t>
      </w: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Izby poprzez poprawienie błędnej numeracji jednostek redakcyjnych w ten sposób, że dotychczasową numerację:</w:t>
      </w:r>
    </w:p>
    <w:p w:rsidRPr="00DE5703" w:rsidR="00DE5703" w:rsidP="00DE5703" w:rsidRDefault="00DE5703" w14:paraId="6E0A53B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1D3BC0D2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„3. Zakres kompetencji poszczególnych członków Zarządu e-Izby może określić Rada e-Izby w uchwale </w:t>
      </w:r>
    </w:p>
    <w:p w:rsidRPr="00DE5703" w:rsidR="00DE5703" w:rsidP="00DE5703" w:rsidRDefault="00DE5703" w14:paraId="18610AA3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o podziale kompetencji pomiędzy członkami Zarządu e-Izby</w:t>
      </w:r>
    </w:p>
    <w:p w:rsidRPr="00DE5703" w:rsidR="00DE5703" w:rsidP="00DE5703" w:rsidRDefault="00DE5703" w14:paraId="5DE1DA9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4. W </w:t>
      </w:r>
      <w:proofErr w:type="gramStart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przypadku</w:t>
      </w:r>
      <w:proofErr w:type="gramEnd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 gdy Zarząd jest wieloosobowy, oświadczenia woli w imieniu e-Izby składają dwaj</w:t>
      </w:r>
    </w:p>
    <w:p w:rsidRPr="00DE5703" w:rsidR="00DE5703" w:rsidP="00DE5703" w:rsidRDefault="00DE5703" w14:paraId="3C8BC8B8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członkowie Zarządu działający łącznie.</w:t>
      </w:r>
    </w:p>
    <w:p w:rsidRPr="00DE5703" w:rsidR="00DE5703" w:rsidP="00DE5703" w:rsidRDefault="00DE5703" w14:paraId="59A009F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5. W umowach między e-Izbą a członkiem Zarządu oraz w sporze z nim e-Izbę reprezentuje</w:t>
      </w:r>
    </w:p>
    <w:p w:rsidRPr="00DE5703" w:rsidR="00DE5703" w:rsidP="00DE5703" w:rsidRDefault="00DE5703" w14:paraId="6BAB41B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pełnomocnik powołany przez Radę e-Izby.”</w:t>
      </w:r>
    </w:p>
    <w:p w:rsidRPr="00DE5703" w:rsidR="00DE5703" w:rsidP="00DE5703" w:rsidRDefault="00DE5703" w14:paraId="2405D6EA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0F128E2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zastępuje się następującą numeracją:</w:t>
      </w:r>
    </w:p>
    <w:p w:rsidRPr="00DE5703" w:rsidR="00DE5703" w:rsidP="00DE5703" w:rsidRDefault="00DE5703" w14:paraId="55E50C8B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F1F132D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„4. Zakres kompetencji poszczególnych członków Zarządu e-Izby może określić Rada e-Izby w uchwale </w:t>
      </w:r>
    </w:p>
    <w:p w:rsidRPr="00DE5703" w:rsidR="00DE5703" w:rsidP="00DE5703" w:rsidRDefault="00DE5703" w14:paraId="762F87A7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o podziale kompetencji pomiędzy członkami Zarządu e-Izby</w:t>
      </w:r>
    </w:p>
    <w:p w:rsidRPr="00DE5703" w:rsidR="00DE5703" w:rsidP="00DE5703" w:rsidRDefault="00DE5703" w14:paraId="1873F780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5. W </w:t>
      </w:r>
      <w:proofErr w:type="gramStart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przypadku</w:t>
      </w:r>
      <w:proofErr w:type="gramEnd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 gdy Zarząd jest wieloosobowy, oświadczenia woli w imieniu e-Izby składają dwaj</w:t>
      </w:r>
    </w:p>
    <w:p w:rsidRPr="00DE5703" w:rsidR="00DE5703" w:rsidP="00DE5703" w:rsidRDefault="00DE5703" w14:paraId="33EA9748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członkowie Zarządu działający łącznie.</w:t>
      </w:r>
    </w:p>
    <w:p w:rsidRPr="00DE5703" w:rsidR="00DE5703" w:rsidP="00DE5703" w:rsidRDefault="00DE5703" w14:paraId="49BA7E52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6. W umowach między e-Izbą a członkiem Zarządu oraz w sporze z nim e-Izbę reprezentuje</w:t>
      </w:r>
    </w:p>
    <w:p w:rsidRPr="00DE5703" w:rsidR="00DE5703" w:rsidP="00DE5703" w:rsidRDefault="00DE5703" w14:paraId="128CEF7A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pełnomocnik powołany przez Radę e-Izby.”</w:t>
      </w:r>
    </w:p>
    <w:p w:rsidRPr="00DE5703" w:rsidR="00DE5703" w:rsidP="00DE5703" w:rsidRDefault="00DE5703" w14:paraId="43CBCD13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00DE5703" w14:paraId="7C871CC1" w14:textId="0E6D5917">
      <w:pPr>
        <w:spacing w:after="0" w:line="276" w:lineRule="auto"/>
        <w:contextualSpacing w:val="1"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 w:rsidR="4E8A39F9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 xml:space="preserve">§ </w:t>
      </w:r>
      <w:r w:rsidRPr="00DE5703" w:rsidR="0CBE648A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>4</w:t>
      </w:r>
      <w:r w:rsidRPr="00DE5703" w:rsidR="4E8A39F9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> </w:t>
      </w:r>
    </w:p>
    <w:p w:rsidRPr="00DE5703" w:rsidR="00DE5703" w:rsidP="00DE5703" w:rsidRDefault="00DE5703" w14:paraId="6667038F" w14:textId="77777777">
      <w:pPr>
        <w:spacing w:after="0" w:line="276" w:lineRule="auto"/>
        <w:contextualSpacing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>Walne Zgromadzenie Członków Izby Gospodarki Elektronicznej z siedzibą w Warszawie zmienia art. 34 ust. 1 Statutu e-Izby i nadaje mu następujące brzmienie:</w:t>
      </w:r>
    </w:p>
    <w:p w:rsidRPr="00DE5703" w:rsidR="00DE5703" w:rsidP="00DE5703" w:rsidRDefault="00DE5703" w14:paraId="19007113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00DE5703" w:rsidRDefault="00DE5703" w14:paraId="40FE9D80" w14:textId="77777777">
      <w:p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„1. Z zastrzeżeniem postanowień ust. 2 niniejszego artykułu, przedmiotem działalności gospodarczej e-Izby może być:</w:t>
      </w:r>
    </w:p>
    <w:p w:rsidRPr="00DE5703" w:rsidR="00DE5703" w:rsidP="00DE5703" w:rsidRDefault="00DE5703" w14:paraId="02ED08CD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wydawanie czasopism i pozostałych periodyków (PKD 58.13.Z),</w:t>
      </w:r>
    </w:p>
    <w:p w:rsidRPr="00DE5703" w:rsidR="00DE5703" w:rsidP="00DE5703" w:rsidRDefault="00DE5703" w14:paraId="5A775705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wydawnicza, z wyłączeniem w zakresie oprogramowania (PKD 58.19.Z),</w:t>
      </w:r>
    </w:p>
    <w:p w:rsidRPr="00DE5703" w:rsidR="00DE5703" w:rsidP="00DE5703" w:rsidRDefault="00DE5703" w14:paraId="2F523DA7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wydawnicza w zakresie pozostałego oprogramowania (PKD 58.29.Z),</w:t>
      </w:r>
    </w:p>
    <w:p w:rsidRPr="00DE5703" w:rsidR="00DE5703" w:rsidP="00DE5703" w:rsidRDefault="00DE5703" w14:paraId="0113EA3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 zakresie nagrań dźwiękowych i muzycznych (PKD 59.20.Z),</w:t>
      </w:r>
    </w:p>
    <w:p w:rsidRPr="00DE5703" w:rsidR="00DE5703" w:rsidP="00DE5703" w:rsidRDefault="00DE5703" w14:paraId="740C07F4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związana z dystrybucją treści (PKD 60.39.Z),</w:t>
      </w:r>
    </w:p>
    <w:p w:rsidRPr="00DE5703" w:rsidR="00DE5703" w:rsidP="00DE5703" w:rsidRDefault="00DE5703" w14:paraId="0C9A17A7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w zakresie programowania (PKD 62.10.B),</w:t>
      </w:r>
    </w:p>
    <w:p w:rsidRPr="00DE5703" w:rsidR="00DE5703" w:rsidP="00DE5703" w:rsidRDefault="00DE5703" w14:paraId="0E8A120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związana z doradztwem w zakresie informatyki oraz zarządzaniem urządzeniami informatycznymi (PKD 62.20.B),</w:t>
      </w:r>
    </w:p>
    <w:p w:rsidRPr="00DE5703" w:rsidR="00DE5703" w:rsidP="00DE5703" w:rsidRDefault="00DE5703" w14:paraId="61E1438B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technologii informatycznych i komputerowych (PKD 62.90.Z),</w:t>
      </w:r>
    </w:p>
    <w:p w:rsidRPr="00DE5703" w:rsidR="00DE5703" w:rsidP="00DE5703" w:rsidRDefault="00DE5703" w14:paraId="19E91885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infrastruktury obliczeniowej, przetwarzania danych, zarządzania stronami internetowymi (hosting) i działalności powiązane (PKD     63.10.D),</w:t>
      </w:r>
    </w:p>
    <w:p w:rsidRPr="00DE5703" w:rsidR="00DE5703" w:rsidP="00DE5703" w:rsidRDefault="00DE5703" w14:paraId="1E5E64C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agencji informacyjnych (PKD 60.31.Z),</w:t>
      </w:r>
    </w:p>
    <w:p w:rsidRPr="00DE5703" w:rsidR="00DE5703" w:rsidP="00DE5703" w:rsidRDefault="00DE5703" w14:paraId="264E1F69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działalność usługowa w zakresie informacji (PKD 63.92.Z),</w:t>
      </w:r>
    </w:p>
    <w:p w:rsidRPr="00DE5703" w:rsidR="00DE5703" w:rsidP="00DE5703" w:rsidRDefault="00DE5703" w14:paraId="1E17BA3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lobbingowa (PKD 73.30.A),</w:t>
      </w:r>
    </w:p>
    <w:p w:rsidRPr="00DE5703" w:rsidR="00DE5703" w:rsidP="00DE5703" w:rsidRDefault="00DE5703" w14:paraId="0F4EA26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pozostała w zakresie public relations i komunikacji (PKD 73.30.B),</w:t>
      </w:r>
    </w:p>
    <w:p w:rsidRPr="00DE5703" w:rsidR="00DE5703" w:rsidP="00DE5703" w:rsidRDefault="00DE5703" w14:paraId="56B7F5AB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lastRenderedPageBreak/>
        <w:t>badania naukowe i prace rozwojowe w dziedzinie nauk przyrodniczych i technicznych (PKD 72.10.Z),</w:t>
      </w:r>
    </w:p>
    <w:p w:rsidRPr="00DE5703" w:rsidR="00DE5703" w:rsidP="00DE5703" w:rsidRDefault="00DE5703" w14:paraId="6A58952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badania naukowe i prace rozwojowe w dziedzinie nauk społecznych i humanistycznych (PKD 72.20.Z),</w:t>
      </w:r>
    </w:p>
    <w:p w:rsidRPr="00DE5703" w:rsidR="00DE5703" w:rsidP="00DE5703" w:rsidRDefault="00DE5703" w14:paraId="636013C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reklama poprzez środki masowego przekazu (PKD 73.12.Z),</w:t>
      </w:r>
    </w:p>
    <w:p w:rsidRPr="00DE5703" w:rsidR="00DE5703" w:rsidP="00DE5703" w:rsidRDefault="00DE5703" w14:paraId="77E37BC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badanie rynku i opinii publicznej (PKD 73.20.Z),</w:t>
      </w:r>
    </w:p>
    <w:p w:rsidRPr="00DE5703" w:rsidR="00DE5703" w:rsidP="00DE5703" w:rsidRDefault="00DE5703" w14:paraId="6D0F795F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 zakresie projektowania graficznego i komunikacji wizualnej (PKD 74.12.Z),</w:t>
      </w:r>
    </w:p>
    <w:p w:rsidRPr="00DE5703" w:rsidR="00DE5703" w:rsidP="00DE5703" w:rsidRDefault="00DE5703" w14:paraId="05B01ED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wszelka pozostała działalność profesjonalna, naukowa i techniczna, gdzie indziej niesklasyfikowana (PKD 74.99.Z),</w:t>
      </w:r>
    </w:p>
    <w:p w:rsidRPr="00DE5703" w:rsidR="00DE5703" w:rsidP="00DE5703" w:rsidRDefault="00DE5703" w14:paraId="509BABD1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wynajem i dzierżawa maszyn i urządzeń biurowych oraz komputerów (PKD 77.33.Z),</w:t>
      </w:r>
    </w:p>
    <w:p w:rsidRPr="00DE5703" w:rsidR="00DE5703" w:rsidP="00DE5703" w:rsidRDefault="00DE5703" w14:paraId="7F1B53FA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pozostała dzierżawa własności intelektualnej i podobnych produktów, z wyłączeniem prac chronionych prawem autorskim (PKD 77.40.B),</w:t>
      </w:r>
    </w:p>
    <w:p w:rsidRPr="00DE5703" w:rsidR="00DE5703" w:rsidP="00DE5703" w:rsidRDefault="00DE5703" w14:paraId="5671A2F8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związana z administracyjną obsługą biura, włączając działalność wspomagającą (PKD 82.10.Z),</w:t>
      </w:r>
    </w:p>
    <w:p w:rsidRPr="00DE5703" w:rsidR="00DE5703" w:rsidP="00DE5703" w:rsidRDefault="00DE5703" w14:paraId="6085D564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centrów telefonicznych (</w:t>
      </w:r>
      <w:proofErr w:type="spellStart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call</w:t>
      </w:r>
      <w:proofErr w:type="spellEnd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 xml:space="preserve"> </w:t>
      </w:r>
      <w:proofErr w:type="spellStart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center</w:t>
      </w:r>
      <w:proofErr w:type="spellEnd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) (PKD 82.20.Z),</w:t>
      </w:r>
    </w:p>
    <w:p w:rsidRPr="00DE5703" w:rsidR="00DE5703" w:rsidP="00DE5703" w:rsidRDefault="00DE5703" w14:paraId="09583A3E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związana z organizacją targów, wystaw i kongresów (PKD 82.30.Z),</w:t>
      </w:r>
    </w:p>
    <w:p w:rsidRPr="00DE5703" w:rsidR="00DE5703" w:rsidP="00DE5703" w:rsidRDefault="00DE5703" w14:paraId="18BF18FE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wspomagająca prowadzenie działalności gospodarczej, gdzie indziej niesklasyfikowana (PKD 82.99.B),</w:t>
      </w:r>
    </w:p>
    <w:p w:rsidRPr="00DE5703" w:rsidR="00DE5703" w:rsidP="00DE5703" w:rsidRDefault="00DE5703" w14:paraId="762E9226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kierowanie w zakresie efektywności gospodarowania (PKD 84.13.Z),</w:t>
      </w:r>
    </w:p>
    <w:p w:rsidRPr="00DE5703" w:rsidR="00DE5703" w:rsidP="00DE5703" w:rsidRDefault="00DE5703" w14:paraId="73A9BFC0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pozostałe formy edukacji (PKD 85.5),</w:t>
      </w:r>
    </w:p>
    <w:p w:rsidRPr="00DE5703" w:rsidR="00DE5703" w:rsidP="00DE5703" w:rsidRDefault="00DE5703" w14:paraId="522E2402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działalność wspomagająca edukację, gdzie indziej niesklasyfikowana (PKD 85.69.Z),</w:t>
      </w:r>
    </w:p>
    <w:p w:rsidRPr="00DE5703" w:rsidR="00DE5703" w:rsidP="00DE5703" w:rsidRDefault="00DE5703" w14:paraId="4F2832EC" w14:textId="77777777">
      <w:pPr>
        <w:numPr>
          <w:ilvl w:val="0"/>
          <w:numId w:val="1"/>
        </w:numPr>
        <w:spacing w:after="0" w:line="276" w:lineRule="auto"/>
        <w:contextualSpacing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naprawa i konserwacja komputerów i sprzętu (</w:t>
      </w:r>
      <w:proofErr w:type="spellStart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tele</w:t>
      </w:r>
      <w:proofErr w:type="spellEnd"/>
      <w:r w:rsidRPr="00DE5703">
        <w:rPr>
          <w:rFonts w:ascii="Calibri" w:hAnsi="Calibri" w:eastAsia="Calibri" w:cs="Calibri"/>
          <w:i/>
          <w:iCs/>
          <w:color w:val="000000"/>
          <w:kern w:val="0"/>
          <w:sz w:val="22"/>
          <w:szCs w:val="22"/>
          <w14:ligatures w14:val="none"/>
        </w:rPr>
        <w:t>)komunikacyjnego (PKD 95.10.Z).”</w:t>
      </w:r>
    </w:p>
    <w:p w:rsidRPr="00DE5703" w:rsidR="00DE5703" w:rsidP="00DE5703" w:rsidRDefault="00DE5703" w14:paraId="54366B8A" w14:textId="77777777">
      <w:pPr>
        <w:widowControl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</w:p>
    <w:p w:rsidRPr="00DE5703" w:rsidR="00DE5703" w:rsidP="680EB485" w:rsidRDefault="00DE5703" w14:paraId="46C864E0" w14:textId="5847E0EB">
      <w:pPr>
        <w:spacing w:after="0" w:line="276" w:lineRule="auto"/>
        <w:contextualSpacing w:val="1"/>
        <w:jc w:val="center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 w:rsidR="4E8A39F9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 xml:space="preserve">§ </w:t>
      </w:r>
      <w:r w:rsidRPr="00DE5703" w:rsidR="6725634A">
        <w:rPr>
          <w:rFonts w:ascii="Calibri" w:hAnsi="Calibri" w:eastAsia="Calibri" w:cs="Calibri"/>
          <w:b w:val="1"/>
          <w:bCs w:val="1"/>
          <w:color w:val="000000"/>
          <w:kern w:val="0"/>
          <w:sz w:val="22"/>
          <w:szCs w:val="22"/>
          <w14:ligatures w14:val="none"/>
        </w:rPr>
        <w:t>5</w:t>
      </w:r>
    </w:p>
    <w:p w:rsidRPr="00DE5703" w:rsidR="00DE5703" w:rsidP="00DE5703" w:rsidRDefault="00DE5703" w14:paraId="10D2B3C1" w14:textId="2502892D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</w:pPr>
      <w:r w:rsidRPr="00DE5703" w:rsidR="4E8A39F9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 xml:space="preserve">Walne Zgromadzenie Członków Izby Gospodarki Elektronicznej z siedzibą w Warszawie postanawia uchwalić tekst jednolity Statutu e-Izby uwzględniający zmiany, o których mowa w §1-§</w:t>
      </w:r>
      <w:r w:rsidRPr="00DE5703" w:rsidR="75B29105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 xml:space="preserve">4</w:t>
      </w:r>
      <w:r w:rsidRPr="00DE5703" w:rsidR="4E8A39F9">
        <w:rPr>
          <w:rFonts w:ascii="Calibri" w:hAnsi="Calibri" w:eastAsia="Calibri" w:cs="Calibri"/>
          <w:color w:val="000000"/>
          <w:kern w:val="0"/>
          <w:sz w:val="22"/>
          <w:szCs w:val="22"/>
          <w14:ligatures w14:val="none"/>
        </w:rPr>
        <w:t xml:space="preserve"> powyżej. Tekst jednolity stanowi załącznik nr 1 do niniejszej uchwały.  </w:t>
      </w:r>
    </w:p>
    <w:p w:rsidRPr="00DE5703" w:rsidR="00DE5703" w:rsidP="00DE5703" w:rsidRDefault="00DE5703" w14:paraId="7E46A670" w14:textId="77777777">
      <w:pPr>
        <w:widowControl w:val="0"/>
        <w:autoSpaceDE w:val="0"/>
        <w:autoSpaceDN w:val="0"/>
        <w:spacing w:after="0" w:line="240" w:lineRule="auto"/>
        <w:jc w:val="both"/>
        <w:rPr>
          <w:rFonts w:ascii="Calibri" w:hAnsi="Calibri" w:eastAsia="Calibri" w:cs="Times New Roman"/>
          <w:i/>
          <w:iCs/>
          <w:kern w:val="0"/>
          <w:sz w:val="22"/>
          <w:szCs w:val="22"/>
          <w14:ligatures w14:val="none"/>
        </w:rPr>
      </w:pPr>
    </w:p>
    <w:p w:rsidR="00DE5703" w:rsidP="00DE5703" w:rsidRDefault="00DE5703" w14:paraId="3BC44BFD" w14:textId="77777777"/>
    <w:sectPr w:rsidR="00DE5703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,Arial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5FB7DA"/>
    <w:multiLevelType w:val="hybridMultilevel"/>
    <w:tmpl w:val="989ADF5E"/>
    <w:lvl w:ilvl="0" w:tplc="AA28643E">
      <w:start w:val="1"/>
      <w:numFmt w:val="lowerLetter"/>
      <w:lvlText w:val="%1)"/>
      <w:lvlJc w:val="left"/>
      <w:pPr>
        <w:ind w:left="720" w:hanging="360"/>
      </w:pPr>
      <w:rPr>
        <w:rFonts w:hint="default" w:ascii="Calibri,Arial" w:hAnsi="Calibri,Arial"/>
      </w:rPr>
    </w:lvl>
    <w:lvl w:ilvl="1" w:tplc="F85C91DA">
      <w:start w:val="1"/>
      <w:numFmt w:val="lowerLetter"/>
      <w:lvlText w:val="%2."/>
      <w:lvlJc w:val="left"/>
      <w:pPr>
        <w:ind w:left="1440" w:hanging="360"/>
      </w:pPr>
    </w:lvl>
    <w:lvl w:ilvl="2" w:tplc="F0C0799E">
      <w:start w:val="1"/>
      <w:numFmt w:val="lowerRoman"/>
      <w:lvlText w:val="%3."/>
      <w:lvlJc w:val="right"/>
      <w:pPr>
        <w:ind w:left="2160" w:hanging="180"/>
      </w:pPr>
    </w:lvl>
    <w:lvl w:ilvl="3" w:tplc="081A1F22">
      <w:start w:val="1"/>
      <w:numFmt w:val="decimal"/>
      <w:lvlText w:val="%4."/>
      <w:lvlJc w:val="left"/>
      <w:pPr>
        <w:ind w:left="2880" w:hanging="360"/>
      </w:pPr>
    </w:lvl>
    <w:lvl w:ilvl="4" w:tplc="DE60B36C">
      <w:start w:val="1"/>
      <w:numFmt w:val="lowerLetter"/>
      <w:lvlText w:val="%5."/>
      <w:lvlJc w:val="left"/>
      <w:pPr>
        <w:ind w:left="3600" w:hanging="360"/>
      </w:pPr>
    </w:lvl>
    <w:lvl w:ilvl="5" w:tplc="C0368B96">
      <w:start w:val="1"/>
      <w:numFmt w:val="lowerRoman"/>
      <w:lvlText w:val="%6."/>
      <w:lvlJc w:val="right"/>
      <w:pPr>
        <w:ind w:left="4320" w:hanging="180"/>
      </w:pPr>
    </w:lvl>
    <w:lvl w:ilvl="6" w:tplc="A254FE8C">
      <w:start w:val="1"/>
      <w:numFmt w:val="decimal"/>
      <w:lvlText w:val="%7."/>
      <w:lvlJc w:val="left"/>
      <w:pPr>
        <w:ind w:left="5040" w:hanging="360"/>
      </w:pPr>
    </w:lvl>
    <w:lvl w:ilvl="7" w:tplc="E3B416D4">
      <w:start w:val="1"/>
      <w:numFmt w:val="lowerLetter"/>
      <w:lvlText w:val="%8."/>
      <w:lvlJc w:val="left"/>
      <w:pPr>
        <w:ind w:left="5760" w:hanging="360"/>
      </w:pPr>
    </w:lvl>
    <w:lvl w:ilvl="8" w:tplc="1C3218D6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37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0C0"/>
    <w:rsid w:val="000300C0"/>
    <w:rsid w:val="00145849"/>
    <w:rsid w:val="004E2AD3"/>
    <w:rsid w:val="007D3711"/>
    <w:rsid w:val="00AE1EE7"/>
    <w:rsid w:val="00DE5703"/>
    <w:rsid w:val="02D2A035"/>
    <w:rsid w:val="0CBE648A"/>
    <w:rsid w:val="13B5F8AB"/>
    <w:rsid w:val="2122645D"/>
    <w:rsid w:val="2733EF88"/>
    <w:rsid w:val="3BE32709"/>
    <w:rsid w:val="3BF1B6D7"/>
    <w:rsid w:val="4E8A39F9"/>
    <w:rsid w:val="5D198DE0"/>
    <w:rsid w:val="616A4841"/>
    <w:rsid w:val="6725634A"/>
    <w:rsid w:val="680EB485"/>
    <w:rsid w:val="75B29105"/>
    <w:rsid w:val="79DBDEC2"/>
    <w:rsid w:val="7A9A8C71"/>
    <w:rsid w:val="7DF6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01DC"/>
  <w15:chartTrackingRefBased/>
  <w15:docId w15:val="{CD40D641-CC8D-4479-9B50-D92768BB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00C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00C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00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0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00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00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00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00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00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300C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0300C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300C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300C0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300C0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300C0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300C0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300C0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300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00C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300C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00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300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00C0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300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00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00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00C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300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00C0"/>
    <w:rPr>
      <w:b/>
      <w:bCs/>
      <w:smallCaps/>
      <w:color w:val="0F4761" w:themeColor="accent1" w:themeShade="BF"/>
      <w:spacing w:val="5"/>
    </w:rPr>
  </w:style>
  <w:style w:type="paragraph" w:styleId="paragraph" w:customStyle="1">
    <w:name w:val="paragraph"/>
    <w:basedOn w:val="Normalny"/>
    <w:rsid w:val="000300C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eastAsia="pl-PL"/>
      <w14:ligatures w14:val="none"/>
    </w:rPr>
  </w:style>
  <w:style w:type="character" w:styleId="normaltextrun" w:customStyle="1">
    <w:name w:val="normaltextrun"/>
    <w:basedOn w:val="Domylnaczcionkaakapitu"/>
    <w:rsid w:val="000300C0"/>
  </w:style>
  <w:style w:type="character" w:styleId="eop" w:customStyle="1">
    <w:name w:val="eop"/>
    <w:basedOn w:val="Domylnaczcionkaakapitu"/>
    <w:rsid w:val="00030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7511E-D8CA-4B07-B496-3567796AAEFC}"/>
</file>

<file path=customXml/itemProps2.xml><?xml version="1.0" encoding="utf-8"?>
<ds:datastoreItem xmlns:ds="http://schemas.openxmlformats.org/officeDocument/2006/customXml" ds:itemID="{69C3722F-0B2F-4A81-AFEC-854B594796AF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F1256482-20E8-4475-A52A-C29DAFFDB3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Maciaszczyk</dc:creator>
  <keywords/>
  <dc:description/>
  <lastModifiedBy>Anna Maciaszczyk</lastModifiedBy>
  <revision>3</revision>
  <dcterms:created xsi:type="dcterms:W3CDTF">2026-03-13T16:16:00.0000000Z</dcterms:created>
  <dcterms:modified xsi:type="dcterms:W3CDTF">2026-03-16T16:16:08.4952196Z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MediaServiceImageTags">
    <vt:lpwstr/>
  </property>
</Properties>
</file>